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1E2" w:rsidRDefault="00AA01E2" w:rsidP="00AA01E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AA01E2" w:rsidRDefault="00AA01E2" w:rsidP="00C62CA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C62CA5" w:rsidRPr="0057684D" w:rsidRDefault="00C62CA5" w:rsidP="00C62CA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7684D">
        <w:rPr>
          <w:rFonts w:ascii="Corbel" w:hAnsi="Corbel"/>
          <w:b/>
          <w:smallCaps/>
          <w:sz w:val="24"/>
          <w:szCs w:val="24"/>
        </w:rPr>
        <w:t>SYLABUS</w:t>
      </w:r>
    </w:p>
    <w:p w:rsidR="00C62CA5" w:rsidRPr="0057684D" w:rsidRDefault="00C62CA5" w:rsidP="00C62C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684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E797B">
        <w:rPr>
          <w:rFonts w:ascii="Corbel" w:hAnsi="Corbel"/>
          <w:b/>
          <w:smallCaps/>
          <w:sz w:val="24"/>
          <w:szCs w:val="24"/>
        </w:rPr>
        <w:t>3</w:t>
      </w:r>
      <w:r w:rsidRPr="0057684D">
        <w:rPr>
          <w:rFonts w:ascii="Corbel" w:hAnsi="Corbel"/>
          <w:b/>
          <w:smallCaps/>
          <w:sz w:val="24"/>
          <w:szCs w:val="24"/>
        </w:rPr>
        <w:t>-202</w:t>
      </w:r>
      <w:r w:rsidR="009E797B">
        <w:rPr>
          <w:rFonts w:ascii="Corbel" w:hAnsi="Corbel"/>
          <w:b/>
          <w:smallCaps/>
          <w:sz w:val="24"/>
          <w:szCs w:val="24"/>
        </w:rPr>
        <w:t>8</w:t>
      </w:r>
      <w:r w:rsidRPr="0057684D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C62CA5" w:rsidRPr="0057684D" w:rsidRDefault="00C62CA5" w:rsidP="00C62CA5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Rok akademicki </w:t>
      </w:r>
      <w:r w:rsidRPr="0057684D">
        <w:rPr>
          <w:rFonts w:ascii="Corbel" w:hAnsi="Corbel"/>
          <w:b/>
          <w:sz w:val="24"/>
          <w:szCs w:val="24"/>
        </w:rPr>
        <w:t>202</w:t>
      </w:r>
      <w:r w:rsidR="009E797B">
        <w:rPr>
          <w:rFonts w:ascii="Corbel" w:hAnsi="Corbel"/>
          <w:b/>
          <w:sz w:val="24"/>
          <w:szCs w:val="24"/>
        </w:rPr>
        <w:t>3</w:t>
      </w:r>
      <w:r w:rsidR="00CC0259">
        <w:rPr>
          <w:rFonts w:ascii="Corbel" w:hAnsi="Corbel"/>
          <w:b/>
          <w:sz w:val="24"/>
          <w:szCs w:val="24"/>
        </w:rPr>
        <w:t>-</w:t>
      </w:r>
      <w:r w:rsidRPr="0057684D">
        <w:rPr>
          <w:rFonts w:ascii="Corbel" w:hAnsi="Corbel"/>
          <w:b/>
          <w:sz w:val="24"/>
          <w:szCs w:val="24"/>
        </w:rPr>
        <w:t>202</w:t>
      </w:r>
      <w:r w:rsidR="00203619">
        <w:rPr>
          <w:rFonts w:ascii="Corbel" w:hAnsi="Corbel"/>
          <w:b/>
          <w:sz w:val="24"/>
          <w:szCs w:val="24"/>
        </w:rPr>
        <w:t>4</w:t>
      </w:r>
      <w:bookmarkStart w:id="0" w:name="_GoBack"/>
      <w:bookmarkEnd w:id="0"/>
    </w:p>
    <w:p w:rsidR="00C62CA5" w:rsidRPr="0057684D" w:rsidRDefault="00C62CA5" w:rsidP="00C62CA5">
      <w:pPr>
        <w:spacing w:after="0" w:line="240" w:lineRule="auto"/>
        <w:rPr>
          <w:rFonts w:ascii="Corbel" w:hAnsi="Corbel"/>
          <w:sz w:val="24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4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E921A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teoretyczne podstawy wychowania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I rok, 1semestr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E92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C62CA5" w:rsidRPr="0057684D" w:rsidTr="008259BF">
        <w:tc>
          <w:tcPr>
            <w:tcW w:w="2694" w:type="dxa"/>
            <w:vAlign w:val="center"/>
          </w:tcPr>
          <w:p w:rsidR="00C62CA5" w:rsidRPr="0057684D" w:rsidRDefault="00C62CA5" w:rsidP="008259BF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62CA5" w:rsidRPr="0057684D" w:rsidRDefault="00C62CA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4D">
              <w:rPr>
                <w:rFonts w:ascii="Corbel" w:hAnsi="Corbel"/>
                <w:b w:val="0"/>
                <w:sz w:val="24"/>
                <w:szCs w:val="24"/>
              </w:rPr>
              <w:t>dr Anna Śniegulska</w:t>
            </w:r>
          </w:p>
        </w:tc>
      </w:tr>
    </w:tbl>
    <w:p w:rsidR="00C62CA5" w:rsidRPr="0057684D" w:rsidRDefault="00C62CA5" w:rsidP="00C62CA5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* </w:t>
      </w:r>
      <w:r w:rsidRPr="0057684D">
        <w:rPr>
          <w:rFonts w:ascii="Corbel" w:hAnsi="Corbel"/>
          <w:i/>
          <w:sz w:val="24"/>
          <w:szCs w:val="24"/>
        </w:rPr>
        <w:t>-opcjonalni</w:t>
      </w:r>
      <w:r w:rsidRPr="0057684D">
        <w:rPr>
          <w:rFonts w:ascii="Corbel" w:hAnsi="Corbel"/>
          <w:sz w:val="24"/>
          <w:szCs w:val="24"/>
        </w:rPr>
        <w:t>e,</w:t>
      </w:r>
      <w:r w:rsidRPr="0057684D">
        <w:rPr>
          <w:rFonts w:ascii="Corbel" w:hAnsi="Corbel"/>
          <w:i/>
          <w:sz w:val="24"/>
          <w:szCs w:val="24"/>
        </w:rPr>
        <w:t xml:space="preserve"> zgodnie z ustaleniami w Jednostce</w:t>
      </w:r>
    </w:p>
    <w:p w:rsidR="00C62CA5" w:rsidRPr="0057684D" w:rsidRDefault="00C62CA5" w:rsidP="00C62CA5">
      <w:pPr>
        <w:pStyle w:val="Podpunkty"/>
        <w:rPr>
          <w:rFonts w:ascii="Corbel" w:hAnsi="Corbel"/>
          <w:sz w:val="24"/>
          <w:szCs w:val="24"/>
        </w:rPr>
      </w:pPr>
    </w:p>
    <w:p w:rsidR="00C62CA5" w:rsidRPr="0057684D" w:rsidRDefault="00C62CA5" w:rsidP="00C62CA5">
      <w:pPr>
        <w:pStyle w:val="Podpunkty"/>
        <w:spacing w:after="0" w:line="240" w:lineRule="auto"/>
        <w:ind w:left="284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>1.1. Formy zajęć dydaktycznych,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C62CA5" w:rsidRPr="0057684D" w:rsidTr="00C62CA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Semestr</w:t>
            </w:r>
          </w:p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CA5" w:rsidRPr="0057684D" w:rsidRDefault="00C62CA5" w:rsidP="00C62CA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C62CA5" w:rsidRPr="0057684D" w:rsidTr="00C62C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CA5" w:rsidRPr="0057684D" w:rsidRDefault="00C62CA5" w:rsidP="00C62CA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62CA5" w:rsidRPr="0057684D" w:rsidRDefault="00C62CA5" w:rsidP="00C62CA5">
      <w:pPr>
        <w:pStyle w:val="Podpunkty"/>
        <w:rPr>
          <w:rFonts w:ascii="Corbel" w:hAnsi="Corbel"/>
          <w:b/>
          <w:sz w:val="24"/>
          <w:szCs w:val="24"/>
        </w:rPr>
      </w:pP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1.2.</w:t>
      </w:r>
      <w:r w:rsidRPr="0057684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62CA5" w:rsidRPr="0057684D" w:rsidRDefault="00C62CA5" w:rsidP="00C62CA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eastAsia="MS Gothic" w:hAnsi="Corbel"/>
          <w:b w:val="0"/>
          <w:szCs w:val="24"/>
        </w:rPr>
        <w:sym w:font="Wingdings" w:char="F078"/>
      </w:r>
      <w:r w:rsidRPr="0057684D">
        <w:rPr>
          <w:rFonts w:ascii="Corbel" w:eastAsia="MS Gothic" w:hAnsi="Corbel"/>
          <w:b w:val="0"/>
          <w:szCs w:val="24"/>
        </w:rPr>
        <w:t xml:space="preserve"> </w:t>
      </w:r>
      <w:r w:rsidRPr="0057684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C62CA5" w:rsidRPr="0057684D" w:rsidRDefault="00C62CA5" w:rsidP="00C62CA5">
      <w:pPr>
        <w:pStyle w:val="Punktygwne"/>
        <w:spacing w:before="0" w:after="0"/>
        <w:ind w:left="284" w:firstLine="424"/>
        <w:rPr>
          <w:rFonts w:ascii="Corbel" w:hAnsi="Corbel"/>
          <w:b w:val="0"/>
          <w:smallCaps w:val="0"/>
          <w:szCs w:val="24"/>
        </w:rPr>
      </w:pPr>
      <w:r w:rsidRPr="0057684D">
        <w:rPr>
          <w:rFonts w:ascii="MS Gothic" w:eastAsia="MS Gothic" w:hAnsi="MS Gothic" w:cs="MS Gothic" w:hint="eastAsia"/>
          <w:b w:val="0"/>
          <w:szCs w:val="24"/>
        </w:rPr>
        <w:t>☐</w:t>
      </w:r>
      <w:r w:rsidRPr="0057684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1.3 </w:t>
      </w:r>
      <w:r w:rsidRPr="0057684D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ab/>
      </w:r>
      <w:r w:rsidRPr="0057684D">
        <w:rPr>
          <w:rFonts w:ascii="Corbel" w:hAnsi="Corbel"/>
          <w:b w:val="0"/>
          <w:smallCaps w:val="0"/>
          <w:szCs w:val="24"/>
        </w:rPr>
        <w:t>wykład: zaliczenie bez oceny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całość przedmiotu: egzamin</w:t>
      </w:r>
    </w:p>
    <w:p w:rsidR="00C62CA5" w:rsidRPr="0057684D" w:rsidRDefault="00C62CA5" w:rsidP="00C62CA5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  <w:r w:rsidRPr="0057684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62CA5" w:rsidRPr="0057684D" w:rsidTr="008259BF">
        <w:tc>
          <w:tcPr>
            <w:tcW w:w="9498" w:type="dxa"/>
          </w:tcPr>
          <w:p w:rsidR="00C62CA5" w:rsidRPr="0057684D" w:rsidRDefault="00C62CA5" w:rsidP="00C62CA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Student potrafi samodzielnie analizować teksty naukowe i samodzielnie wypowiadać 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się w formie pisemnej.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  <w:r w:rsidRPr="0057684D">
        <w:rPr>
          <w:rFonts w:ascii="Corbel" w:hAnsi="Corbel"/>
          <w:szCs w:val="24"/>
        </w:rPr>
        <w:t>3. cele, efekty uczenia się , treści Programowe i stosowane metody Dydaktyczne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zCs w:val="24"/>
        </w:rPr>
      </w:pPr>
    </w:p>
    <w:p w:rsidR="00C62CA5" w:rsidRPr="0057684D" w:rsidRDefault="00C62CA5" w:rsidP="00C62CA5">
      <w:pPr>
        <w:pStyle w:val="Podpunkty"/>
        <w:spacing w:after="0" w:line="240" w:lineRule="auto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62CA5" w:rsidRPr="0057684D" w:rsidTr="008259BF"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Zapoznanie studentów z wiedzą dotyczącą szeroko rozumianego procesu wychowania, jego psychospołecznych i kulturowych uwarunkowań oraz z wybranymi koncepcjami wychowania, ich założeniami i przedstawicielami.  </w:t>
            </w:r>
          </w:p>
        </w:tc>
      </w:tr>
      <w:tr w:rsidR="00C62CA5" w:rsidRPr="0057684D" w:rsidTr="008259BF">
        <w:trPr>
          <w:trHeight w:val="569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Zapoznanie studentów ze specyfiką funkcjonowania podstawowych środowisk wychowawczych i ich wpływem na rozwój wychowanka.  </w:t>
            </w:r>
          </w:p>
        </w:tc>
      </w:tr>
      <w:tr w:rsidR="00C62CA5" w:rsidRPr="0057684D" w:rsidTr="008259BF">
        <w:trPr>
          <w:trHeight w:val="729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C62CA5" w:rsidRPr="0057684D" w:rsidTr="008259BF">
        <w:trPr>
          <w:trHeight w:val="307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Rozwijanie u studentów umiejętności właściwego interpretowania zagrożeń dla rozwoju dziecka.</w:t>
            </w:r>
          </w:p>
        </w:tc>
      </w:tr>
      <w:tr w:rsidR="00C62CA5" w:rsidRPr="0057684D" w:rsidTr="008259BF">
        <w:trPr>
          <w:trHeight w:val="365"/>
        </w:trPr>
        <w:tc>
          <w:tcPr>
            <w:tcW w:w="851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C62CA5" w:rsidRPr="0057684D" w:rsidRDefault="00C62CA5" w:rsidP="00C62CA5">
            <w:pPr>
              <w:pStyle w:val="Podpunkt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62CA5" w:rsidRPr="0057684D" w:rsidRDefault="00C62CA5" w:rsidP="00C62CA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>3.2 Efekty uczenia się dla przedmiotu</w:t>
      </w:r>
      <w:r w:rsidRPr="0057684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C62CA5" w:rsidRPr="0057684D" w:rsidTr="008259BF">
        <w:tc>
          <w:tcPr>
            <w:tcW w:w="1418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br/>
              <w:t>do efektów  kierunkowych</w:t>
            </w:r>
            <w:r w:rsidRPr="005768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2CA5" w:rsidRPr="0057684D" w:rsidTr="008259BF">
        <w:tc>
          <w:tcPr>
            <w:tcW w:w="1418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2CA5" w:rsidRPr="0057684D" w:rsidTr="00C62CA5"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Scharakteryzuje specyfikę funkcjonowania środowisk wychowawczych, takich jak rodzina i szkoła, opisze procesy w nich zachodzące oraz dokonujący się proces  przekazu wartości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</w:p>
        </w:tc>
      </w:tr>
      <w:tr w:rsidR="00C62CA5" w:rsidRPr="0057684D" w:rsidTr="00C62CA5"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Scharakteryzuje współczesne podejście do problemów wychowania i nowe formy oddziaływań wychowawczych adresowanych do dzieci ze specjalnymi potrzebami edukacyjnymi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</w:tc>
      </w:tr>
      <w:tr w:rsidR="00C62CA5" w:rsidRPr="0057684D" w:rsidTr="00C62CA5">
        <w:trPr>
          <w:trHeight w:val="153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Zanalizuje problemy wychowawcze, wykorzystując wiedzę z zakresu innych dyscyplin naukowych (pedagogiki ogólnej, psychologii, pedagogiki specjalnej)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62CA5" w:rsidRPr="0057684D" w:rsidTr="00C62CA5">
        <w:trPr>
          <w:trHeight w:val="122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Zinterpretuje sytuacje wychowawcze konstruowane dla potrzeb realizacji celów wychowania, wykorzystując przy tym wiedzę z   pedagogiki specjalnej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C62CA5" w:rsidRPr="0057684D" w:rsidTr="00C62CA5">
        <w:trPr>
          <w:trHeight w:val="161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Zaprojektuje działania na rzecz poprawy wychowawczego funkcjonowania szkoły i innych placówek opiekuńczo-wychowawczych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C62CA5" w:rsidRPr="0057684D" w:rsidTr="00C62CA5">
        <w:trPr>
          <w:trHeight w:val="130"/>
        </w:trPr>
        <w:tc>
          <w:tcPr>
            <w:tcW w:w="1418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20" w:type="dxa"/>
            <w:vAlign w:val="center"/>
          </w:tcPr>
          <w:p w:rsidR="00C62CA5" w:rsidRPr="0057684D" w:rsidRDefault="00C62CA5" w:rsidP="00C6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Jest przygotowany do stałego poszerzania swojej wiedzy oraz doskonalenia umiejętności w zakresie organizowania procesu wychowania w odniesieniu do dzieci o specjalnych potrzebach edukacyjnych</w:t>
            </w:r>
          </w:p>
        </w:tc>
        <w:tc>
          <w:tcPr>
            <w:tcW w:w="1732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PS.K8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62CA5" w:rsidRPr="0057684D" w:rsidRDefault="00C62CA5" w:rsidP="00C62C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:rsidR="00C62CA5" w:rsidRPr="0057684D" w:rsidRDefault="00C62CA5" w:rsidP="00C62C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  </w:t>
      </w:r>
    </w:p>
    <w:p w:rsidR="00C62CA5" w:rsidRPr="0057684D" w:rsidRDefault="00C62CA5" w:rsidP="00C62CA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2CA5" w:rsidRPr="0057684D" w:rsidTr="008259BF"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Teoria wychowania jako dyscyplina pedagogiczna - przedmiot zainteresowań; sposoby uprawiania teorii wychowania;  teoria wychowania w relacjach z innymi naukami, podstawowe pojęcia teorii wychowania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Struktura procesu wychowania – warstwa aksjologiczna i operacyjna.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Dziedziny wychowania: wychowanie zdrowotne, moralne, estetyczne i umysłowe.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Krytyczna ocena współczesnej edukacji szkolnej. Możliwości kreowania wychowawczego środowiska szkoły na miarę potrzeb dziecka.   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Swoboda i przymus w wychowaniu. Przymus a przemoc. Przemoc wobec dziecka w rodzinie i szkole. </w:t>
            </w:r>
          </w:p>
        </w:tc>
      </w:tr>
      <w:tr w:rsidR="00C62CA5" w:rsidRPr="0057684D" w:rsidTr="008259B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A5" w:rsidRPr="0057684D" w:rsidRDefault="00C62CA5" w:rsidP="00C62CA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Wychowanie i edukacja w kontekście wyzwań i dylematów czasu przemian – rekapitulacja głównych tez wykładów.</w:t>
            </w:r>
          </w:p>
        </w:tc>
      </w:tr>
    </w:tbl>
    <w:p w:rsidR="00C62CA5" w:rsidRPr="0057684D" w:rsidRDefault="00C62CA5" w:rsidP="00C62CA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C62CA5" w:rsidRPr="0057684D" w:rsidRDefault="00C62CA5" w:rsidP="00C62CA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4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2CA5" w:rsidRPr="0057684D" w:rsidTr="008259BF"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C62CA5" w:rsidRPr="0057684D" w:rsidTr="008259BF">
        <w:trPr>
          <w:trHeight w:val="145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Cechy wychowania,  adaptacyjny i emancypacyjny charakter wychowania; warunki  skuteczności wychowania.  </w:t>
            </w:r>
          </w:p>
        </w:tc>
      </w:tr>
      <w:tr w:rsidR="00C62CA5" w:rsidRPr="0057684D" w:rsidTr="008259BF">
        <w:trPr>
          <w:trHeight w:val="101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Wychowanie w świetle wybranych koncepcji psychologicznych i pedagogicznych.</w:t>
            </w:r>
          </w:p>
        </w:tc>
      </w:tr>
      <w:tr w:rsidR="00C62CA5" w:rsidRPr="0057684D" w:rsidTr="008259BF">
        <w:trPr>
          <w:trHeight w:val="116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Aksjologiczny wymiar procesu wychowania.</w:t>
            </w:r>
          </w:p>
        </w:tc>
      </w:tr>
      <w:tr w:rsidR="00C62CA5" w:rsidRPr="0057684D" w:rsidTr="008259BF">
        <w:trPr>
          <w:trHeight w:val="176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Rodzina fundamentalnym środowiskiem wychowawczym- pojęcie, typy i funkcje rodziny, postawy rodzicielskie, role rodzicielski, autorytet rodzicielski, przemiany współczesnej rodziny, tzw. kryzys rodziny.</w:t>
            </w:r>
          </w:p>
        </w:tc>
      </w:tr>
      <w:tr w:rsidR="00C62CA5" w:rsidRPr="0057684D" w:rsidTr="008259BF">
        <w:trPr>
          <w:trHeight w:val="115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Szkoła jako środowisko wychowawcze – system szkolny, funkcje szkoły, klas jako grupa społeczna, struktura klasy szkolnej, style wychowania, model wychowawcy klasy i jego autorytet, rozwiązywanie konfliktów w klasie, rozwój zainteresowań w szkole, współpraca wychowawcy klasy z rodzicami wychowanka i zasady wzajemnej komunikacji.</w:t>
            </w:r>
          </w:p>
        </w:tc>
      </w:tr>
      <w:tr w:rsidR="00C62CA5" w:rsidRPr="0057684D" w:rsidTr="008259BF">
        <w:trPr>
          <w:trHeight w:val="138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Grupa rówieśnicza i jej znaczenie w rozwoju dziecka.</w:t>
            </w:r>
          </w:p>
        </w:tc>
      </w:tr>
      <w:tr w:rsidR="00C62CA5" w:rsidRPr="0057684D" w:rsidTr="008259BF"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Media – szanse wychowawcze, możliwości wykorzystania w edukacji, zagrożenia dla rozwoju dziecka.</w:t>
            </w:r>
          </w:p>
        </w:tc>
      </w:tr>
      <w:tr w:rsidR="00C62CA5" w:rsidRPr="0057684D" w:rsidTr="008259BF">
        <w:trPr>
          <w:trHeight w:val="138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Metody i techniki wychowania.  Rodzic i wychowawca jako osoby znaczące.</w:t>
            </w:r>
          </w:p>
        </w:tc>
      </w:tr>
      <w:tr w:rsidR="00C62CA5" w:rsidRPr="0057684D" w:rsidTr="008259BF">
        <w:trPr>
          <w:trHeight w:val="153"/>
        </w:trPr>
        <w:tc>
          <w:tcPr>
            <w:tcW w:w="9639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Trudności wychowawcze i możliwości przeciwdziałania – pojęcie trudności wychowawczych, przyczyny, możliwości przeciwdziałania (przykłady zajęć profilaktycznych), rola empatii w profilaktyce trudności wychowawczych, pomoc i wsparcie szkoły w przypadku sprawiania przez dziecko trudności wychowawczych.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3.4 Metody dydaktyczne</w:t>
      </w:r>
      <w:r w:rsidRPr="0057684D">
        <w:rPr>
          <w:rFonts w:ascii="Corbel" w:hAnsi="Corbel"/>
          <w:b w:val="0"/>
          <w:smallCaps w:val="0"/>
          <w:szCs w:val="24"/>
        </w:rPr>
        <w:t xml:space="preserve"> </w:t>
      </w:r>
    </w:p>
    <w:p w:rsidR="00C62CA5" w:rsidRPr="0057684D" w:rsidRDefault="00C62CA5" w:rsidP="00C62CA5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wykład: problemowy, konwersatoryjny</w:t>
      </w:r>
    </w:p>
    <w:p w:rsidR="00C62CA5" w:rsidRPr="0057684D" w:rsidRDefault="00C62CA5" w:rsidP="00C62CA5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ćwiczenia: analiza tekstów naukowych, dyskusja, praca w grupach, prezentacje multimedialne</w:t>
      </w:r>
    </w:p>
    <w:p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4. METODY I KRYTERIA OCENY </w:t>
      </w:r>
    </w:p>
    <w:p w:rsidR="00C62CA5" w:rsidRPr="0057684D" w:rsidRDefault="00C62CA5" w:rsidP="00C62C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0"/>
        <w:gridCol w:w="2409"/>
      </w:tblGrid>
      <w:tr w:rsidR="00C62CA5" w:rsidRPr="0057684D" w:rsidTr="00C62CA5">
        <w:tc>
          <w:tcPr>
            <w:tcW w:w="156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:rsidR="00C62CA5" w:rsidRPr="0057684D" w:rsidRDefault="00C62CA5" w:rsidP="00825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</w:tc>
      </w:tr>
      <w:tr w:rsidR="00C62CA5" w:rsidRPr="0057684D" w:rsidTr="00C62CA5"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przygotowanie prezentacji multimedialnej,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45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przygotowanie prezentacji multimedialnej,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38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83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02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C62CA5" w:rsidRPr="0057684D" w:rsidTr="00C62CA5">
        <w:trPr>
          <w:trHeight w:val="130"/>
        </w:trPr>
        <w:tc>
          <w:tcPr>
            <w:tcW w:w="1560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670" w:type="dxa"/>
          </w:tcPr>
          <w:p w:rsidR="00C62CA5" w:rsidRPr="0057684D" w:rsidRDefault="00C62CA5" w:rsidP="00C62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vAlign w:val="center"/>
          </w:tcPr>
          <w:p w:rsidR="00C62CA5" w:rsidRPr="0057684D" w:rsidRDefault="00C62CA5" w:rsidP="00C62C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4D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62CA5" w:rsidRPr="0057684D" w:rsidTr="008259BF">
        <w:tc>
          <w:tcPr>
            <w:tcW w:w="9670" w:type="dxa"/>
          </w:tcPr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wykładu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nieobecności).</w:t>
            </w:r>
          </w:p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ćwiczeń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nieobecności), zaliczenie kolokwium, aktywność na zajęciach (udział w dyskusji; przygotowanie prezentacji multimedialnej).</w:t>
            </w:r>
          </w:p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Warunek zaliczenia przedmiotu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: pozytywn</w:t>
            </w:r>
            <w:r w:rsidR="0083192A" w:rsidRPr="0057684D">
              <w:rPr>
                <w:rFonts w:ascii="Corbel" w:hAnsi="Corbel"/>
                <w:b w:val="0"/>
                <w:smallCaps w:val="0"/>
                <w:szCs w:val="24"/>
              </w:rPr>
              <w:t>e zaliczenie egzaminu pisemnego, ocenianie w tradycyjne formule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4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C62CA5" w:rsidRPr="0057684D" w:rsidTr="008259BF">
        <w:tc>
          <w:tcPr>
            <w:tcW w:w="5103" w:type="dxa"/>
            <w:vAlign w:val="center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  <w:vAlign w:val="center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B920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45391" w:rsidRPr="0057684D">
              <w:rPr>
                <w:rFonts w:ascii="Corbel" w:hAnsi="Corbel"/>
                <w:sz w:val="24"/>
                <w:szCs w:val="24"/>
              </w:rPr>
              <w:t>:</w:t>
            </w:r>
          </w:p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konsultacje – 2; egzamin - 2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45391" w:rsidRPr="0057684D">
              <w:rPr>
                <w:rFonts w:ascii="Corbel" w:hAnsi="Corbel"/>
                <w:sz w:val="24"/>
                <w:szCs w:val="24"/>
              </w:rPr>
              <w:t>:</w:t>
            </w:r>
          </w:p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przygotowanie do zajęć, egzaminu, przygotowanie prezentacji multimedalnej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2CA5" w:rsidRPr="0057684D" w:rsidTr="008259BF">
        <w:tc>
          <w:tcPr>
            <w:tcW w:w="5103" w:type="dxa"/>
          </w:tcPr>
          <w:p w:rsidR="00C62CA5" w:rsidRPr="0057684D" w:rsidRDefault="00C62CA5" w:rsidP="008259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C62CA5" w:rsidRPr="0057684D" w:rsidRDefault="00C62CA5" w:rsidP="00245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4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4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>6. PRAKTYKI ZAWODOWE W RAMACH PRZEDMIOTU</w:t>
      </w:r>
    </w:p>
    <w:p w:rsidR="00C62CA5" w:rsidRPr="0057684D" w:rsidRDefault="00C62CA5" w:rsidP="002453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C62CA5" w:rsidRPr="0057684D" w:rsidTr="00E921AF">
        <w:trPr>
          <w:trHeight w:val="397"/>
        </w:trPr>
        <w:tc>
          <w:tcPr>
            <w:tcW w:w="4111" w:type="dxa"/>
          </w:tcPr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62CA5" w:rsidRPr="0057684D" w:rsidRDefault="00245391" w:rsidP="002453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62CA5" w:rsidRPr="0057684D" w:rsidTr="00E921AF">
        <w:trPr>
          <w:trHeight w:val="397"/>
        </w:trPr>
        <w:tc>
          <w:tcPr>
            <w:tcW w:w="4111" w:type="dxa"/>
          </w:tcPr>
          <w:p w:rsidR="00C62CA5" w:rsidRPr="0057684D" w:rsidRDefault="00C62CA5" w:rsidP="008259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62CA5" w:rsidRPr="0057684D" w:rsidRDefault="00245391" w:rsidP="002453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62CA5" w:rsidRPr="0057684D" w:rsidRDefault="00C62CA5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4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2CA5" w:rsidRPr="0057684D" w:rsidTr="00245391">
        <w:trPr>
          <w:trHeight w:val="397"/>
        </w:trPr>
        <w:tc>
          <w:tcPr>
            <w:tcW w:w="9639" w:type="dxa"/>
          </w:tcPr>
          <w:p w:rsidR="00C62CA5" w:rsidRPr="0057684D" w:rsidRDefault="00C62CA5" w:rsidP="008259B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7684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T. E. Dąbrowska, B. Wojciechowaka-Charlak,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Między praktyką a teorią wychowania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UMCS Lublin 2005.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Dudzikowa, K. Knasiecka-Falbierska,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Sprawcy i/lub ofiary działań pozornych w edukacji szkolnej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2013.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Górniewicz,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Teoria wychowania</w:t>
            </w:r>
            <w:r w:rsidRPr="0057684D">
              <w:rPr>
                <w:rFonts w:ascii="Corbel" w:hAnsi="Corbel"/>
                <w:sz w:val="24"/>
                <w:szCs w:val="24"/>
              </w:rPr>
              <w:t>, „GLOB” Toruń – Olsztyn 1996.</w:t>
            </w:r>
          </w:p>
          <w:p w:rsidR="00C62CA5" w:rsidRPr="0057684D" w:rsidRDefault="00C62CA5" w:rsidP="00245391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S. Kawula, J. Brągiel, A.W. Janke (red.),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Pedagogika rodziny. Obszary i panorama problematyki</w:t>
            </w:r>
            <w:r w:rsidRPr="0057684D">
              <w:rPr>
                <w:rFonts w:ascii="Corbel" w:hAnsi="Corbel"/>
                <w:sz w:val="24"/>
                <w:szCs w:val="24"/>
              </w:rPr>
              <w:t>, Adam Marszałek Toruń 2014.</w:t>
            </w:r>
            <w:r w:rsidRPr="0057684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M. Łobocki,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Teoria wychowania w zarysie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2003.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Łobocki,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W trosce o wychowanie w szkole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Impuls Kraków 2007.</w:t>
            </w:r>
          </w:p>
          <w:p w:rsidR="00245391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M. Nowak,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Teorie i koncepcje wychowania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WAiP Warszawa 2008.</w:t>
            </w:r>
          </w:p>
          <w:p w:rsidR="00C62CA5" w:rsidRPr="0057684D" w:rsidRDefault="00245391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="00C62CA5"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Śliwerski, </w:t>
            </w:r>
            <w:r w:rsidR="00C62CA5"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Pedagogika ogólna. Podstawowe prawidłowości</w:t>
            </w:r>
            <w:r w:rsidR="00C62CA5" w:rsidRPr="0057684D">
              <w:rPr>
                <w:rFonts w:ascii="Corbel" w:hAnsi="Corbel"/>
                <w:b w:val="0"/>
                <w:smallCaps w:val="0"/>
                <w:szCs w:val="24"/>
              </w:rPr>
              <w:t>, Impuls Kraków 2012.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t xml:space="preserve">A. Śniegulska, W. Walc (red.), </w:t>
            </w:r>
            <w:r w:rsidRPr="0057684D">
              <w:rPr>
                <w:rFonts w:ascii="Corbel" w:hAnsi="Corbel"/>
                <w:b w:val="0"/>
                <w:i/>
                <w:smallCaps w:val="0"/>
                <w:szCs w:val="24"/>
              </w:rPr>
              <w:t>Rola osób znaczących w wychowaniu dzieci i młodzieży</w:t>
            </w:r>
            <w:r w:rsidRPr="0057684D">
              <w:rPr>
                <w:rFonts w:ascii="Corbel" w:hAnsi="Corbel"/>
                <w:b w:val="0"/>
                <w:smallCaps w:val="0"/>
                <w:szCs w:val="24"/>
              </w:rPr>
              <w:t>, UR Rzeszów 2019.</w:t>
            </w:r>
          </w:p>
        </w:tc>
      </w:tr>
      <w:tr w:rsidR="00C62CA5" w:rsidRPr="0057684D" w:rsidTr="00245391">
        <w:trPr>
          <w:trHeight w:val="397"/>
        </w:trPr>
        <w:tc>
          <w:tcPr>
            <w:tcW w:w="9639" w:type="dxa"/>
          </w:tcPr>
          <w:p w:rsidR="00C62CA5" w:rsidRPr="0057684D" w:rsidRDefault="00C62CA5" w:rsidP="008259B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768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</w:t>
            </w:r>
            <w:r w:rsidRPr="0057684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62CA5" w:rsidRPr="0057684D" w:rsidRDefault="00C62CA5" w:rsidP="00245391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4D">
              <w:rPr>
                <w:rFonts w:ascii="Corbel" w:hAnsi="Corbel"/>
                <w:smallCaps w:val="0"/>
                <w:color w:val="000000"/>
                <w:szCs w:val="24"/>
              </w:rPr>
              <w:t xml:space="preserve">M. 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Dudzikowa, Czerepaniak-Walczak M. (red.), </w:t>
            </w:r>
            <w:r w:rsidRPr="0057684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Wychowanie. Pojęcia. Konteksty. Interdyscyplinarne ujęcia</w:t>
            </w:r>
            <w:r w:rsidRPr="005768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GWP Gdańsk 2007.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Nelsen,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57684D">
              <w:rPr>
                <w:rFonts w:ascii="Corbel" w:hAnsi="Corbel"/>
                <w:sz w:val="24"/>
                <w:szCs w:val="24"/>
              </w:rPr>
              <w:t>, Wyd. CoJaNaTo Warszawa 2015.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K. Konarzewski,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Podstawy teorii oddziaływań wychowawczych</w:t>
            </w:r>
            <w:r w:rsidRPr="0057684D">
              <w:rPr>
                <w:rFonts w:ascii="Corbel" w:hAnsi="Corbel"/>
                <w:sz w:val="24"/>
                <w:szCs w:val="24"/>
              </w:rPr>
              <w:t>, PWN Warszawa 1982.</w:t>
            </w:r>
          </w:p>
          <w:p w:rsidR="00245391" w:rsidRPr="0057684D" w:rsidRDefault="00C62CA5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K. Olbrycht,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Edukacja aksjologiczna</w:t>
            </w:r>
            <w:r w:rsidRPr="0057684D">
              <w:rPr>
                <w:rFonts w:ascii="Corbel" w:hAnsi="Corbel"/>
                <w:sz w:val="24"/>
                <w:szCs w:val="24"/>
              </w:rPr>
              <w:t>, UŚ Katowice 1994.</w:t>
            </w:r>
          </w:p>
          <w:p w:rsidR="00245391" w:rsidRPr="0057684D" w:rsidRDefault="00245391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B. </w:t>
            </w:r>
            <w:r w:rsidR="00C62CA5" w:rsidRPr="0057684D">
              <w:rPr>
                <w:rFonts w:ascii="Corbel" w:hAnsi="Corbel"/>
                <w:sz w:val="24"/>
                <w:szCs w:val="24"/>
              </w:rPr>
              <w:t xml:space="preserve">Śliwerski, </w:t>
            </w:r>
            <w:r w:rsidR="00C62CA5" w:rsidRPr="0057684D">
              <w:rPr>
                <w:rFonts w:ascii="Corbel" w:hAnsi="Corbel"/>
                <w:color w:val="000000"/>
                <w:sz w:val="24"/>
                <w:szCs w:val="24"/>
              </w:rPr>
              <w:t xml:space="preserve">(red.), </w:t>
            </w:r>
            <w:r w:rsidR="00C62CA5" w:rsidRPr="0057684D">
              <w:rPr>
                <w:rFonts w:ascii="Corbel" w:hAnsi="Corbel"/>
                <w:i/>
                <w:color w:val="000000"/>
                <w:sz w:val="24"/>
                <w:szCs w:val="24"/>
              </w:rPr>
              <w:t>Podstawy nauk o wychowaniu. T. 1</w:t>
            </w:r>
            <w:r w:rsidR="00C62CA5" w:rsidRPr="0057684D">
              <w:rPr>
                <w:rFonts w:ascii="Corbel" w:hAnsi="Corbel"/>
                <w:color w:val="000000"/>
                <w:sz w:val="24"/>
                <w:szCs w:val="24"/>
              </w:rPr>
              <w:t>, GWP Gdańsk 2006.</w:t>
            </w:r>
          </w:p>
          <w:p w:rsidR="00C62CA5" w:rsidRPr="0057684D" w:rsidRDefault="00245391" w:rsidP="0024539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A. </w:t>
            </w:r>
            <w:r w:rsidR="00C62CA5" w:rsidRPr="0057684D">
              <w:rPr>
                <w:rFonts w:ascii="Corbel" w:hAnsi="Corbel"/>
                <w:sz w:val="24"/>
                <w:szCs w:val="24"/>
              </w:rPr>
              <w:t xml:space="preserve">Śniegulska, </w:t>
            </w:r>
            <w:r w:rsidR="00C62CA5" w:rsidRPr="0057684D">
              <w:rPr>
                <w:rFonts w:ascii="Corbel" w:hAnsi="Corbel"/>
                <w:i/>
                <w:sz w:val="24"/>
                <w:szCs w:val="24"/>
              </w:rPr>
              <w:t>Refleksje nad współczesnym wychowaniem</w:t>
            </w:r>
            <w:r w:rsidR="00C62CA5" w:rsidRPr="0057684D">
              <w:rPr>
                <w:rFonts w:ascii="Corbel" w:hAnsi="Corbel"/>
                <w:sz w:val="24"/>
                <w:szCs w:val="24"/>
              </w:rPr>
              <w:t xml:space="preserve">, UR Rzeszów 2012. 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Tarnowski, </w:t>
            </w:r>
            <w:r w:rsidRPr="0057684D">
              <w:rPr>
                <w:rFonts w:ascii="Corbel" w:hAnsi="Corbel"/>
                <w:iCs/>
                <w:sz w:val="24"/>
                <w:szCs w:val="24"/>
              </w:rPr>
              <w:t xml:space="preserve">Człowiek, dialog, wychowanie, </w:t>
            </w:r>
            <w:r w:rsidRPr="0057684D">
              <w:rPr>
                <w:rFonts w:ascii="Corbel" w:hAnsi="Corbel"/>
                <w:sz w:val="24"/>
                <w:szCs w:val="24"/>
              </w:rPr>
              <w:t xml:space="preserve">„Znak" 1991, nr 9. </w:t>
            </w:r>
          </w:p>
          <w:p w:rsidR="00C62CA5" w:rsidRPr="0057684D" w:rsidRDefault="00C62CA5" w:rsidP="0024539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684D">
              <w:rPr>
                <w:rFonts w:ascii="Corbel" w:hAnsi="Corbel"/>
                <w:sz w:val="24"/>
                <w:szCs w:val="24"/>
              </w:rPr>
              <w:t xml:space="preserve">J. Truskolaska, </w:t>
            </w:r>
            <w:r w:rsidRPr="0057684D">
              <w:rPr>
                <w:rFonts w:ascii="Corbel" w:hAnsi="Corbel"/>
                <w:i/>
                <w:sz w:val="24"/>
                <w:szCs w:val="24"/>
              </w:rPr>
              <w:t>Partnerstwo w rodzinie</w:t>
            </w:r>
            <w:r w:rsidRPr="0057684D">
              <w:rPr>
                <w:rFonts w:ascii="Corbel" w:hAnsi="Corbel"/>
                <w:sz w:val="24"/>
                <w:szCs w:val="24"/>
              </w:rPr>
              <w:t>, KUL Lublin 2009.</w:t>
            </w:r>
          </w:p>
        </w:tc>
      </w:tr>
    </w:tbl>
    <w:p w:rsidR="00C62CA5" w:rsidRPr="0057684D" w:rsidRDefault="00C62CA5" w:rsidP="002453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2CA5" w:rsidRPr="0057684D" w:rsidRDefault="00C62CA5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684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45B5D" w:rsidRPr="0057684D" w:rsidRDefault="00045B5D" w:rsidP="00C62C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45B5D" w:rsidRPr="0057684D" w:rsidRDefault="00045B5D" w:rsidP="00045B5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C62CA5" w:rsidRPr="0057684D" w:rsidRDefault="00C62CA5" w:rsidP="00C62CA5">
      <w:pPr>
        <w:rPr>
          <w:rFonts w:ascii="Corbel" w:hAnsi="Corbel"/>
          <w:sz w:val="24"/>
          <w:szCs w:val="24"/>
        </w:rPr>
      </w:pPr>
    </w:p>
    <w:p w:rsidR="008572CB" w:rsidRPr="0057684D" w:rsidRDefault="008572CB">
      <w:pPr>
        <w:rPr>
          <w:rFonts w:ascii="Corbel" w:hAnsi="Corbel"/>
          <w:sz w:val="24"/>
          <w:szCs w:val="24"/>
        </w:rPr>
      </w:pPr>
    </w:p>
    <w:sectPr w:rsidR="008572CB" w:rsidRPr="005768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53E" w:rsidRDefault="0088653E" w:rsidP="00C62CA5">
      <w:pPr>
        <w:spacing w:after="0" w:line="240" w:lineRule="auto"/>
      </w:pPr>
      <w:r>
        <w:separator/>
      </w:r>
    </w:p>
  </w:endnote>
  <w:endnote w:type="continuationSeparator" w:id="0">
    <w:p w:rsidR="0088653E" w:rsidRDefault="0088653E" w:rsidP="00C6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53E" w:rsidRDefault="0088653E" w:rsidP="00C62CA5">
      <w:pPr>
        <w:spacing w:after="0" w:line="240" w:lineRule="auto"/>
      </w:pPr>
      <w:r>
        <w:separator/>
      </w:r>
    </w:p>
  </w:footnote>
  <w:footnote w:type="continuationSeparator" w:id="0">
    <w:p w:rsidR="0088653E" w:rsidRDefault="0088653E" w:rsidP="00C62CA5">
      <w:pPr>
        <w:spacing w:after="0" w:line="240" w:lineRule="auto"/>
      </w:pPr>
      <w:r>
        <w:continuationSeparator/>
      </w:r>
    </w:p>
  </w:footnote>
  <w:footnote w:id="1">
    <w:p w:rsidR="00C62CA5" w:rsidRDefault="00C62CA5" w:rsidP="00C62CA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A1642C"/>
    <w:multiLevelType w:val="hybridMultilevel"/>
    <w:tmpl w:val="46F0BEE6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7149CF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B0622"/>
    <w:multiLevelType w:val="hybridMultilevel"/>
    <w:tmpl w:val="1AA0DDAE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A103A"/>
    <w:multiLevelType w:val="hybridMultilevel"/>
    <w:tmpl w:val="5E46F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2CA5"/>
    <w:rsid w:val="00045B5D"/>
    <w:rsid w:val="00191E5D"/>
    <w:rsid w:val="00203619"/>
    <w:rsid w:val="00245391"/>
    <w:rsid w:val="00262197"/>
    <w:rsid w:val="004B6547"/>
    <w:rsid w:val="0057684D"/>
    <w:rsid w:val="00765A3F"/>
    <w:rsid w:val="007D5FDD"/>
    <w:rsid w:val="0083192A"/>
    <w:rsid w:val="008572CB"/>
    <w:rsid w:val="0088653E"/>
    <w:rsid w:val="00907255"/>
    <w:rsid w:val="009E797B"/>
    <w:rsid w:val="00A218CC"/>
    <w:rsid w:val="00A328EA"/>
    <w:rsid w:val="00A77B12"/>
    <w:rsid w:val="00AA01E2"/>
    <w:rsid w:val="00B92020"/>
    <w:rsid w:val="00C62CA5"/>
    <w:rsid w:val="00CC0259"/>
    <w:rsid w:val="00E82EEA"/>
    <w:rsid w:val="00E921AF"/>
    <w:rsid w:val="00EB3B92"/>
    <w:rsid w:val="00EF5C81"/>
    <w:rsid w:val="00F00B4B"/>
    <w:rsid w:val="00F422F7"/>
    <w:rsid w:val="00FC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5B478"/>
  <w15:docId w15:val="{A70C0AC3-AA83-4B3D-9EF1-8C0BE1B4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CA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C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62C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62CA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2CA5"/>
    <w:rPr>
      <w:vertAlign w:val="superscript"/>
    </w:rPr>
  </w:style>
  <w:style w:type="paragraph" w:customStyle="1" w:styleId="Punktygwne">
    <w:name w:val="Punkty główne"/>
    <w:basedOn w:val="Normalny"/>
    <w:rsid w:val="00C62CA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2CA5"/>
  </w:style>
  <w:style w:type="paragraph" w:customStyle="1" w:styleId="Odpowiedzi">
    <w:name w:val="Odpowiedzi"/>
    <w:basedOn w:val="Normalny"/>
    <w:rsid w:val="00C62CA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2CA5"/>
  </w:style>
  <w:style w:type="paragraph" w:customStyle="1" w:styleId="Nagwkitablic">
    <w:name w:val="Nagłówki tablic"/>
    <w:basedOn w:val="Tekstpodstawowy"/>
    <w:uiPriority w:val="99"/>
    <w:rsid w:val="00C62CA5"/>
  </w:style>
  <w:style w:type="paragraph" w:customStyle="1" w:styleId="centralniewrubryce">
    <w:name w:val="centralnie w rubryce"/>
    <w:basedOn w:val="Normalny"/>
    <w:rsid w:val="00C62CA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2CA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2C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2CA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8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1305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2020-02-19T22:54:00Z</dcterms:created>
  <dcterms:modified xsi:type="dcterms:W3CDTF">2024-05-28T07:54:00Z</dcterms:modified>
</cp:coreProperties>
</file>